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B489" w14:textId="4600D350" w:rsidR="00DF5BB2" w:rsidRPr="00CD77F5" w:rsidRDefault="001B5994" w:rsidP="002D593F">
      <w:pPr>
        <w:jc w:val="center"/>
        <w:rPr>
          <w:b/>
          <w:bCs/>
          <w:sz w:val="32"/>
          <w:szCs w:val="32"/>
        </w:rPr>
      </w:pPr>
      <w:r w:rsidRPr="00CD77F5">
        <w:rPr>
          <w:rFonts w:hint="eastAsia"/>
          <w:b/>
          <w:bCs/>
          <w:sz w:val="32"/>
          <w:szCs w:val="32"/>
        </w:rPr>
        <w:t>地方公営企業法の一部適用について</w:t>
      </w:r>
    </w:p>
    <w:p w14:paraId="28B77390" w14:textId="20D92A70" w:rsidR="001B5994" w:rsidRDefault="001B5994"/>
    <w:p w14:paraId="463DDD55" w14:textId="713031F8" w:rsidR="001B5994" w:rsidRDefault="001B5994" w:rsidP="00CD77F5">
      <w:r w:rsidRPr="00CD77F5">
        <w:rPr>
          <w:rFonts w:hint="eastAsia"/>
          <w:sz w:val="24"/>
          <w:szCs w:val="24"/>
        </w:rPr>
        <w:t>令和６年４月１日</w:t>
      </w:r>
      <w:r w:rsidR="00CD77F5">
        <w:rPr>
          <w:rFonts w:hint="eastAsia"/>
          <w:sz w:val="24"/>
          <w:szCs w:val="24"/>
        </w:rPr>
        <w:t>より</w:t>
      </w:r>
      <w:r w:rsidRPr="00CD77F5">
        <w:rPr>
          <w:rFonts w:hint="eastAsia"/>
          <w:sz w:val="24"/>
          <w:szCs w:val="24"/>
        </w:rPr>
        <w:t>下水道事業、農業集落排水事業は公営企業</w:t>
      </w:r>
      <w:r w:rsidR="00CD77F5">
        <w:rPr>
          <w:rFonts w:hint="eastAsia"/>
          <w:sz w:val="24"/>
          <w:szCs w:val="24"/>
        </w:rPr>
        <w:t>会計に移行しました</w:t>
      </w:r>
    </w:p>
    <w:p w14:paraId="14933400" w14:textId="6E3EAF00" w:rsidR="00CD77F5" w:rsidRDefault="00CD77F5" w:rsidP="00CD77F5"/>
    <w:p w14:paraId="75CC8C62" w14:textId="17050D77" w:rsidR="00CD77F5" w:rsidRDefault="00CD77F5" w:rsidP="00CD77F5">
      <w:r>
        <w:rPr>
          <w:rFonts w:hint="eastAsia"/>
        </w:rPr>
        <w:t xml:space="preserve">　本村の下水道事業、農業集落排水事業は、持続的で安定的な事業運営のため、</w:t>
      </w:r>
      <w:r w:rsidRPr="00CD77F5">
        <w:rPr>
          <w:rFonts w:hint="eastAsia"/>
          <w:szCs w:val="21"/>
        </w:rPr>
        <w:t>地方公営企業法の一部（財務規則等）を適用することとなりました</w:t>
      </w:r>
      <w:r>
        <w:rPr>
          <w:rFonts w:hint="eastAsia"/>
          <w:szCs w:val="21"/>
        </w:rPr>
        <w:t>。</w:t>
      </w:r>
    </w:p>
    <w:p w14:paraId="776BC20A" w14:textId="2FD1DF38" w:rsidR="001B5994" w:rsidRDefault="001B5994" w:rsidP="00CD77F5">
      <w:pPr>
        <w:ind w:firstLineChars="100" w:firstLine="210"/>
      </w:pPr>
      <w:r>
        <w:rPr>
          <w:rFonts w:hint="eastAsia"/>
        </w:rPr>
        <w:t>それに伴い、これまでの「官庁会計（単式簿記、現金主義）」から「公営企業会計（複式簿記、発生主義）」へ移行となります。</w:t>
      </w:r>
    </w:p>
    <w:p w14:paraId="216D31E6" w14:textId="2C26FF8A" w:rsidR="001B5994" w:rsidRDefault="001B5994" w:rsidP="00CD77F5">
      <w:pPr>
        <w:ind w:firstLineChars="100" w:firstLine="210"/>
      </w:pPr>
      <w:r>
        <w:rPr>
          <w:rFonts w:hint="eastAsia"/>
        </w:rPr>
        <w:t>また、地方公営企業法の適用は、主に会計方式の変更となりますので、使用者の皆様に直接</w:t>
      </w:r>
      <w:r w:rsidR="002D593F">
        <w:rPr>
          <w:rFonts w:hint="eastAsia"/>
        </w:rPr>
        <w:t>的な</w:t>
      </w:r>
      <w:r>
        <w:rPr>
          <w:rFonts w:hint="eastAsia"/>
        </w:rPr>
        <w:t>影響はありません</w:t>
      </w:r>
      <w:r w:rsidR="002D593F">
        <w:rPr>
          <w:rFonts w:hint="eastAsia"/>
        </w:rPr>
        <w:t>。</w:t>
      </w:r>
    </w:p>
    <w:p w14:paraId="0273FF03" w14:textId="370AB99B" w:rsidR="001B5994" w:rsidRDefault="001B5994"/>
    <w:p w14:paraId="317F4CE6" w14:textId="7C3EFC0B" w:rsidR="001B5994" w:rsidRDefault="001B5994" w:rsidP="00CD77F5">
      <w:pPr>
        <w:pStyle w:val="a3"/>
        <w:numPr>
          <w:ilvl w:val="0"/>
          <w:numId w:val="1"/>
        </w:numPr>
        <w:ind w:leftChars="0"/>
      </w:pPr>
      <w:r>
        <w:rPr>
          <w:rFonts w:hint="eastAsia"/>
        </w:rPr>
        <w:t>会計移行に伴う主な変更点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735"/>
        <w:gridCol w:w="3735"/>
      </w:tblGrid>
      <w:tr w:rsidR="001B5994" w14:paraId="442D61AC" w14:textId="17CA5486" w:rsidTr="00CD77F5">
        <w:trPr>
          <w:trHeight w:val="705"/>
        </w:trPr>
        <w:tc>
          <w:tcPr>
            <w:tcW w:w="1560" w:type="dxa"/>
            <w:vAlign w:val="center"/>
          </w:tcPr>
          <w:p w14:paraId="55C36603" w14:textId="2C03D0C9" w:rsidR="001B5994" w:rsidRPr="002D593F" w:rsidRDefault="001B5994" w:rsidP="00CD77F5">
            <w:pPr>
              <w:jc w:val="center"/>
              <w:rPr>
                <w:sz w:val="20"/>
                <w:szCs w:val="20"/>
              </w:rPr>
            </w:pPr>
            <w:r w:rsidRPr="002D593F">
              <w:rPr>
                <w:rFonts w:hint="eastAsia"/>
                <w:sz w:val="20"/>
                <w:szCs w:val="20"/>
              </w:rPr>
              <w:t>項目</w:t>
            </w:r>
          </w:p>
        </w:tc>
        <w:tc>
          <w:tcPr>
            <w:tcW w:w="3735" w:type="dxa"/>
            <w:vAlign w:val="center"/>
          </w:tcPr>
          <w:p w14:paraId="58B1EA1B" w14:textId="4532FD28" w:rsidR="001B5994" w:rsidRPr="002D593F" w:rsidRDefault="001B5994" w:rsidP="00CD77F5">
            <w:pPr>
              <w:jc w:val="center"/>
              <w:rPr>
                <w:sz w:val="20"/>
                <w:szCs w:val="20"/>
              </w:rPr>
            </w:pPr>
            <w:r w:rsidRPr="002D593F">
              <w:rPr>
                <w:rFonts w:hint="eastAsia"/>
                <w:sz w:val="20"/>
                <w:szCs w:val="20"/>
              </w:rPr>
              <w:t>特別会計（これまで）</w:t>
            </w:r>
          </w:p>
        </w:tc>
        <w:tc>
          <w:tcPr>
            <w:tcW w:w="3735" w:type="dxa"/>
            <w:vAlign w:val="center"/>
          </w:tcPr>
          <w:p w14:paraId="481952D3" w14:textId="6C5D7F60" w:rsidR="001B5994" w:rsidRPr="002D593F" w:rsidRDefault="001B5994" w:rsidP="00CD77F5">
            <w:pPr>
              <w:jc w:val="center"/>
              <w:rPr>
                <w:sz w:val="20"/>
                <w:szCs w:val="20"/>
              </w:rPr>
            </w:pPr>
            <w:r w:rsidRPr="002D593F">
              <w:rPr>
                <w:rFonts w:hint="eastAsia"/>
                <w:sz w:val="20"/>
                <w:szCs w:val="20"/>
              </w:rPr>
              <w:t>公営企業会計（これから）</w:t>
            </w:r>
          </w:p>
        </w:tc>
      </w:tr>
      <w:tr w:rsidR="001B5994" w14:paraId="5D18247F" w14:textId="477218B5" w:rsidTr="00CD77F5">
        <w:trPr>
          <w:trHeight w:val="1070"/>
        </w:trPr>
        <w:tc>
          <w:tcPr>
            <w:tcW w:w="1560" w:type="dxa"/>
            <w:vAlign w:val="center"/>
          </w:tcPr>
          <w:p w14:paraId="1BE5E1E7" w14:textId="6DB3D06E" w:rsidR="001B5994" w:rsidRPr="002D593F" w:rsidRDefault="001B5994" w:rsidP="00CD77F5">
            <w:pPr>
              <w:jc w:val="center"/>
              <w:rPr>
                <w:sz w:val="20"/>
                <w:szCs w:val="20"/>
              </w:rPr>
            </w:pPr>
            <w:r w:rsidRPr="002D593F">
              <w:rPr>
                <w:rFonts w:hint="eastAsia"/>
                <w:sz w:val="20"/>
                <w:szCs w:val="20"/>
              </w:rPr>
              <w:t>会計名</w:t>
            </w:r>
          </w:p>
        </w:tc>
        <w:tc>
          <w:tcPr>
            <w:tcW w:w="3735" w:type="dxa"/>
            <w:vAlign w:val="center"/>
          </w:tcPr>
          <w:p w14:paraId="658205D2" w14:textId="262A1273" w:rsidR="001B5994" w:rsidRPr="002D593F" w:rsidRDefault="00CD77F5" w:rsidP="00CD77F5">
            <w:pPr>
              <w:rPr>
                <w:sz w:val="20"/>
                <w:szCs w:val="20"/>
              </w:rPr>
            </w:pPr>
            <w:r w:rsidRPr="002D593F">
              <w:rPr>
                <w:rFonts w:hint="eastAsia"/>
                <w:sz w:val="20"/>
                <w:szCs w:val="20"/>
              </w:rPr>
              <w:t>・</w:t>
            </w:r>
            <w:r w:rsidR="001B5994" w:rsidRPr="002D593F">
              <w:rPr>
                <w:rFonts w:hint="eastAsia"/>
                <w:sz w:val="20"/>
                <w:szCs w:val="20"/>
              </w:rPr>
              <w:t>下水道事業特別会計</w:t>
            </w:r>
          </w:p>
          <w:p w14:paraId="50DC9C91" w14:textId="6979F244" w:rsidR="001B5994" w:rsidRPr="002D593F" w:rsidRDefault="00CD77F5" w:rsidP="00CD77F5">
            <w:pPr>
              <w:rPr>
                <w:sz w:val="20"/>
                <w:szCs w:val="20"/>
              </w:rPr>
            </w:pPr>
            <w:r w:rsidRPr="002D593F">
              <w:rPr>
                <w:rFonts w:hint="eastAsia"/>
                <w:sz w:val="20"/>
                <w:szCs w:val="20"/>
              </w:rPr>
              <w:t>・</w:t>
            </w:r>
            <w:r w:rsidR="001B5994" w:rsidRPr="002D593F">
              <w:rPr>
                <w:rFonts w:hint="eastAsia"/>
                <w:sz w:val="20"/>
                <w:szCs w:val="20"/>
              </w:rPr>
              <w:t>農業集落排水事業特別会計</w:t>
            </w:r>
          </w:p>
        </w:tc>
        <w:tc>
          <w:tcPr>
            <w:tcW w:w="3735" w:type="dxa"/>
            <w:vAlign w:val="center"/>
          </w:tcPr>
          <w:p w14:paraId="45FA1595" w14:textId="13ADDDC8" w:rsidR="001B5994" w:rsidRPr="002D593F" w:rsidRDefault="00CD77F5" w:rsidP="00CD77F5">
            <w:pPr>
              <w:rPr>
                <w:sz w:val="20"/>
                <w:szCs w:val="20"/>
              </w:rPr>
            </w:pPr>
            <w:r w:rsidRPr="002D593F">
              <w:rPr>
                <w:rFonts w:hint="eastAsia"/>
                <w:sz w:val="20"/>
                <w:szCs w:val="20"/>
              </w:rPr>
              <w:t>・</w:t>
            </w:r>
            <w:r w:rsidR="001B5994" w:rsidRPr="002D593F">
              <w:rPr>
                <w:rFonts w:hint="eastAsia"/>
                <w:sz w:val="20"/>
                <w:szCs w:val="20"/>
              </w:rPr>
              <w:t>下水道事業会計</w:t>
            </w:r>
          </w:p>
          <w:p w14:paraId="7F2AC5E5" w14:textId="0C4A904B" w:rsidR="001B5994" w:rsidRPr="002D593F" w:rsidRDefault="001B5994" w:rsidP="00CD77F5">
            <w:pPr>
              <w:rPr>
                <w:sz w:val="20"/>
                <w:szCs w:val="20"/>
              </w:rPr>
            </w:pPr>
            <w:r w:rsidRPr="002D593F">
              <w:rPr>
                <w:rFonts w:hint="eastAsia"/>
                <w:sz w:val="20"/>
                <w:szCs w:val="20"/>
              </w:rPr>
              <w:t>※事業を統合し、１事業となりました</w:t>
            </w:r>
          </w:p>
        </w:tc>
      </w:tr>
      <w:tr w:rsidR="001B5994" w14:paraId="2D2828BA" w14:textId="77777777" w:rsidTr="00CD77F5">
        <w:trPr>
          <w:trHeight w:val="690"/>
        </w:trPr>
        <w:tc>
          <w:tcPr>
            <w:tcW w:w="1560" w:type="dxa"/>
            <w:vAlign w:val="center"/>
          </w:tcPr>
          <w:p w14:paraId="04DB8E0F" w14:textId="1CFE4971" w:rsidR="001B5994" w:rsidRPr="002D593F" w:rsidRDefault="001B5994" w:rsidP="00CD77F5">
            <w:pPr>
              <w:jc w:val="center"/>
              <w:rPr>
                <w:sz w:val="20"/>
                <w:szCs w:val="20"/>
              </w:rPr>
            </w:pPr>
            <w:r w:rsidRPr="002D593F">
              <w:rPr>
                <w:rFonts w:hint="eastAsia"/>
                <w:sz w:val="20"/>
                <w:szCs w:val="20"/>
              </w:rPr>
              <w:t>予算について</w:t>
            </w:r>
          </w:p>
        </w:tc>
        <w:tc>
          <w:tcPr>
            <w:tcW w:w="3735" w:type="dxa"/>
          </w:tcPr>
          <w:p w14:paraId="3381181B" w14:textId="77777777" w:rsidR="001B5994" w:rsidRPr="002D593F" w:rsidRDefault="001B5994" w:rsidP="001B5994">
            <w:pPr>
              <w:rPr>
                <w:sz w:val="20"/>
                <w:szCs w:val="20"/>
              </w:rPr>
            </w:pPr>
            <w:r w:rsidRPr="002D593F">
              <w:rPr>
                <w:rFonts w:hint="eastAsia"/>
                <w:sz w:val="20"/>
                <w:szCs w:val="20"/>
              </w:rPr>
              <w:t>収入を歳入、支出を歳出として</w:t>
            </w:r>
          </w:p>
          <w:p w14:paraId="75E57D88" w14:textId="05298E40" w:rsidR="001B5994" w:rsidRPr="002D593F" w:rsidRDefault="001B5994" w:rsidP="001B5994">
            <w:pPr>
              <w:rPr>
                <w:sz w:val="20"/>
                <w:szCs w:val="20"/>
              </w:rPr>
            </w:pPr>
            <w:r w:rsidRPr="002D593F">
              <w:rPr>
                <w:rFonts w:hint="eastAsia"/>
                <w:sz w:val="20"/>
                <w:szCs w:val="20"/>
              </w:rPr>
              <w:t>予算計上し会計・整理</w:t>
            </w:r>
          </w:p>
        </w:tc>
        <w:tc>
          <w:tcPr>
            <w:tcW w:w="3735" w:type="dxa"/>
          </w:tcPr>
          <w:p w14:paraId="000DD16E" w14:textId="737466C6" w:rsidR="001B5994" w:rsidRPr="002D593F" w:rsidRDefault="001B5994" w:rsidP="001B5994">
            <w:pPr>
              <w:rPr>
                <w:sz w:val="20"/>
                <w:szCs w:val="20"/>
              </w:rPr>
            </w:pPr>
            <w:r w:rsidRPr="002D593F">
              <w:rPr>
                <w:rFonts w:hint="eastAsia"/>
                <w:sz w:val="20"/>
                <w:szCs w:val="20"/>
              </w:rPr>
              <w:t>損益取引の収支と、資本取引の収支に分けてそれぞれ予算計上し会計・整理</w:t>
            </w:r>
          </w:p>
        </w:tc>
      </w:tr>
      <w:tr w:rsidR="001B5994" w14:paraId="241D4ED9" w14:textId="77777777" w:rsidTr="00CD77F5">
        <w:trPr>
          <w:trHeight w:val="720"/>
        </w:trPr>
        <w:tc>
          <w:tcPr>
            <w:tcW w:w="1560" w:type="dxa"/>
            <w:vAlign w:val="center"/>
          </w:tcPr>
          <w:p w14:paraId="73EDE9AA" w14:textId="77777777" w:rsidR="002D593F" w:rsidRDefault="001B5994" w:rsidP="00CD77F5">
            <w:pPr>
              <w:jc w:val="center"/>
              <w:rPr>
                <w:sz w:val="20"/>
                <w:szCs w:val="20"/>
              </w:rPr>
            </w:pPr>
            <w:r w:rsidRPr="002D593F">
              <w:rPr>
                <w:rFonts w:hint="eastAsia"/>
                <w:sz w:val="20"/>
                <w:szCs w:val="20"/>
              </w:rPr>
              <w:t>経理方法</w:t>
            </w:r>
          </w:p>
          <w:p w14:paraId="77DF291B" w14:textId="7883D0CB" w:rsidR="001B5994" w:rsidRPr="002D593F" w:rsidRDefault="001B5994" w:rsidP="00CD77F5">
            <w:pPr>
              <w:jc w:val="center"/>
              <w:rPr>
                <w:sz w:val="20"/>
                <w:szCs w:val="20"/>
              </w:rPr>
            </w:pPr>
            <w:r w:rsidRPr="002D593F">
              <w:rPr>
                <w:rFonts w:hint="eastAsia"/>
                <w:sz w:val="20"/>
                <w:szCs w:val="20"/>
              </w:rPr>
              <w:t>・方式</w:t>
            </w:r>
          </w:p>
        </w:tc>
        <w:tc>
          <w:tcPr>
            <w:tcW w:w="3735" w:type="dxa"/>
            <w:vAlign w:val="center"/>
          </w:tcPr>
          <w:p w14:paraId="4738E639" w14:textId="7F415D1D" w:rsidR="001B5994" w:rsidRPr="002D593F" w:rsidRDefault="001B5994" w:rsidP="00CD77F5">
            <w:pPr>
              <w:rPr>
                <w:sz w:val="20"/>
                <w:szCs w:val="20"/>
              </w:rPr>
            </w:pPr>
            <w:r w:rsidRPr="002D593F">
              <w:rPr>
                <w:rFonts w:hint="eastAsia"/>
                <w:sz w:val="20"/>
                <w:szCs w:val="20"/>
              </w:rPr>
              <w:t>現金主義による単式簿記</w:t>
            </w:r>
          </w:p>
        </w:tc>
        <w:tc>
          <w:tcPr>
            <w:tcW w:w="3735" w:type="dxa"/>
            <w:vAlign w:val="center"/>
          </w:tcPr>
          <w:p w14:paraId="6CE4E475" w14:textId="17E6FE85" w:rsidR="001B5994" w:rsidRPr="002D593F" w:rsidRDefault="001B5994" w:rsidP="00CD77F5">
            <w:pPr>
              <w:rPr>
                <w:sz w:val="20"/>
                <w:szCs w:val="20"/>
              </w:rPr>
            </w:pPr>
            <w:r w:rsidRPr="002D593F">
              <w:rPr>
                <w:rFonts w:hint="eastAsia"/>
                <w:sz w:val="20"/>
                <w:szCs w:val="20"/>
              </w:rPr>
              <w:t>発生主義による複式簿記</w:t>
            </w:r>
          </w:p>
        </w:tc>
      </w:tr>
      <w:tr w:rsidR="001B5994" w14:paraId="6F4A2CC9" w14:textId="77777777" w:rsidTr="00CD77F5">
        <w:trPr>
          <w:trHeight w:val="690"/>
        </w:trPr>
        <w:tc>
          <w:tcPr>
            <w:tcW w:w="1560" w:type="dxa"/>
            <w:vAlign w:val="center"/>
          </w:tcPr>
          <w:p w14:paraId="1216CE9D" w14:textId="24861C08" w:rsidR="001B5994" w:rsidRPr="002D593F" w:rsidRDefault="001B5994" w:rsidP="00CD77F5">
            <w:pPr>
              <w:jc w:val="center"/>
              <w:rPr>
                <w:sz w:val="20"/>
                <w:szCs w:val="20"/>
              </w:rPr>
            </w:pPr>
            <w:r w:rsidRPr="002D593F">
              <w:rPr>
                <w:rFonts w:hint="eastAsia"/>
                <w:sz w:val="20"/>
                <w:szCs w:val="20"/>
              </w:rPr>
              <w:t>資産管理</w:t>
            </w:r>
          </w:p>
        </w:tc>
        <w:tc>
          <w:tcPr>
            <w:tcW w:w="3735" w:type="dxa"/>
            <w:vAlign w:val="center"/>
          </w:tcPr>
          <w:p w14:paraId="1001099F" w14:textId="66802DE9" w:rsidR="001B5994" w:rsidRPr="002D593F" w:rsidRDefault="001B5994" w:rsidP="00CD77F5">
            <w:pPr>
              <w:rPr>
                <w:sz w:val="20"/>
                <w:szCs w:val="20"/>
              </w:rPr>
            </w:pPr>
            <w:r w:rsidRPr="002D593F">
              <w:rPr>
                <w:rFonts w:hint="eastAsia"/>
                <w:sz w:val="20"/>
                <w:szCs w:val="20"/>
              </w:rPr>
              <w:t>各財産台帳で管理</w:t>
            </w:r>
          </w:p>
        </w:tc>
        <w:tc>
          <w:tcPr>
            <w:tcW w:w="3735" w:type="dxa"/>
            <w:vAlign w:val="center"/>
          </w:tcPr>
          <w:p w14:paraId="12DACF2A" w14:textId="1D0EB59B" w:rsidR="001B5994" w:rsidRPr="002D593F" w:rsidRDefault="001B5994" w:rsidP="00CD77F5">
            <w:pPr>
              <w:rPr>
                <w:sz w:val="20"/>
                <w:szCs w:val="20"/>
              </w:rPr>
            </w:pPr>
            <w:r w:rsidRPr="002D593F">
              <w:rPr>
                <w:rFonts w:hint="eastAsia"/>
                <w:sz w:val="20"/>
                <w:szCs w:val="20"/>
              </w:rPr>
              <w:t>資産台帳（減価償却）により管理</w:t>
            </w:r>
          </w:p>
        </w:tc>
      </w:tr>
      <w:tr w:rsidR="001B5994" w14:paraId="6E9B1ACB" w14:textId="77777777" w:rsidTr="00CD77F5">
        <w:trPr>
          <w:trHeight w:val="728"/>
        </w:trPr>
        <w:tc>
          <w:tcPr>
            <w:tcW w:w="1560" w:type="dxa"/>
            <w:vAlign w:val="center"/>
          </w:tcPr>
          <w:p w14:paraId="55F206D4" w14:textId="3C5FCC57" w:rsidR="001B5994" w:rsidRPr="002D593F" w:rsidRDefault="001B5994" w:rsidP="00CD77F5">
            <w:pPr>
              <w:jc w:val="center"/>
              <w:rPr>
                <w:sz w:val="20"/>
                <w:szCs w:val="20"/>
              </w:rPr>
            </w:pPr>
            <w:r w:rsidRPr="002D593F">
              <w:rPr>
                <w:rFonts w:hint="eastAsia"/>
                <w:sz w:val="20"/>
                <w:szCs w:val="20"/>
              </w:rPr>
              <w:t>出納整理期間</w:t>
            </w:r>
          </w:p>
        </w:tc>
        <w:tc>
          <w:tcPr>
            <w:tcW w:w="3735" w:type="dxa"/>
          </w:tcPr>
          <w:p w14:paraId="40FCD04D" w14:textId="0AE6EA03" w:rsidR="001B5994" w:rsidRPr="002D593F" w:rsidRDefault="001B5994" w:rsidP="001B5994">
            <w:pPr>
              <w:rPr>
                <w:sz w:val="20"/>
                <w:szCs w:val="20"/>
              </w:rPr>
            </w:pPr>
            <w:r w:rsidRPr="002D593F">
              <w:rPr>
                <w:rFonts w:hint="eastAsia"/>
                <w:sz w:val="20"/>
                <w:szCs w:val="20"/>
              </w:rPr>
              <w:t>翌年度(４月１日から５月31日)の間に当該年度の収支を確定させ決算を行う</w:t>
            </w:r>
          </w:p>
        </w:tc>
        <w:tc>
          <w:tcPr>
            <w:tcW w:w="3735" w:type="dxa"/>
          </w:tcPr>
          <w:p w14:paraId="3DCFF948" w14:textId="46FBD848" w:rsidR="001B5994" w:rsidRPr="002D593F" w:rsidRDefault="001B5994" w:rsidP="001B5994">
            <w:pPr>
              <w:rPr>
                <w:sz w:val="20"/>
                <w:szCs w:val="20"/>
              </w:rPr>
            </w:pPr>
            <w:r w:rsidRPr="002D593F">
              <w:rPr>
                <w:rFonts w:hint="eastAsia"/>
                <w:sz w:val="20"/>
                <w:szCs w:val="20"/>
              </w:rPr>
              <w:t>年度末(３月31日)における収支が確定後、直ちに決算を行う</w:t>
            </w:r>
          </w:p>
        </w:tc>
      </w:tr>
    </w:tbl>
    <w:p w14:paraId="2981BA3D" w14:textId="493EDAD5" w:rsidR="001B5994" w:rsidRDefault="001B5994"/>
    <w:p w14:paraId="0B5E0083" w14:textId="605D371F" w:rsidR="00CD77F5" w:rsidRDefault="00CD77F5" w:rsidP="00CD77F5">
      <w:pPr>
        <w:pStyle w:val="a3"/>
        <w:numPr>
          <w:ilvl w:val="0"/>
          <w:numId w:val="1"/>
        </w:numPr>
        <w:ind w:leftChars="0"/>
      </w:pPr>
      <w:r>
        <w:rPr>
          <w:rFonts w:hint="eastAsia"/>
        </w:rPr>
        <w:t>官庁会計と企業会計方式の違い</w:t>
      </w:r>
    </w:p>
    <w:p w14:paraId="4B60A2AF" w14:textId="54B218EA" w:rsidR="00CD77F5" w:rsidRDefault="00CD77F5" w:rsidP="00CD77F5">
      <w:pPr>
        <w:ind w:leftChars="100" w:left="210" w:firstLineChars="100" w:firstLine="210"/>
      </w:pPr>
      <w:r>
        <w:rPr>
          <w:rFonts w:hint="eastAsia"/>
        </w:rPr>
        <w:t>これまでの特別会計では、家計簿のように単年度の現金の収支に着目した官庁会計方式でしたが、企業会計方式への移行によって、一般企業と同じように現金以外の収支や、資産や負債の増減に対しても会計処理を行います。</w:t>
      </w:r>
    </w:p>
    <w:p w14:paraId="4F72B1E8" w14:textId="22718CC2" w:rsidR="00CD77F5" w:rsidRDefault="00CD77F5" w:rsidP="00CD77F5">
      <w:pPr>
        <w:ind w:firstLineChars="200" w:firstLine="420"/>
      </w:pPr>
      <w:r>
        <w:rPr>
          <w:rFonts w:hint="eastAsia"/>
        </w:rPr>
        <w:t>企業会計方式は、事業の経営状況をより明確化できるメリットがあります。</w:t>
      </w:r>
    </w:p>
    <w:p w14:paraId="7931A89E" w14:textId="011EB3CE" w:rsidR="00CD77F5" w:rsidRDefault="00CD77F5" w:rsidP="00CD77F5"/>
    <w:p w14:paraId="11E4A9CD" w14:textId="586E01C2" w:rsidR="00CD77F5" w:rsidRDefault="00CD77F5" w:rsidP="00CD77F5">
      <w:pPr>
        <w:pStyle w:val="a3"/>
        <w:numPr>
          <w:ilvl w:val="0"/>
          <w:numId w:val="1"/>
        </w:numPr>
        <w:ind w:leftChars="0"/>
      </w:pPr>
      <w:r>
        <w:rPr>
          <w:rFonts w:hint="eastAsia"/>
        </w:rPr>
        <w:t>使用者の皆様へ</w:t>
      </w:r>
    </w:p>
    <w:p w14:paraId="0F4660B2" w14:textId="656E97F0" w:rsidR="00CD77F5" w:rsidRDefault="00CD77F5" w:rsidP="00CD77F5">
      <w:pPr>
        <w:pStyle w:val="a3"/>
        <w:ind w:leftChars="0" w:left="360"/>
      </w:pPr>
      <w:r>
        <w:rPr>
          <w:rFonts w:hint="eastAsia"/>
        </w:rPr>
        <w:t>今回の会計移行に伴い、使用者の皆様には直接的な影響はありません。</w:t>
      </w:r>
    </w:p>
    <w:p w14:paraId="5EC7B517" w14:textId="7F43777A" w:rsidR="00CD77F5" w:rsidRDefault="00CD77F5" w:rsidP="00CD77F5">
      <w:pPr>
        <w:ind w:leftChars="100" w:left="210" w:firstLineChars="100" w:firstLine="210"/>
      </w:pPr>
      <w:r>
        <w:rPr>
          <w:rFonts w:hint="eastAsia"/>
        </w:rPr>
        <w:t>口座から下水道等使用料をお支払いいただいている方については、通帳への印字が変更となる場合がありますが、お客様が再度口座登録</w:t>
      </w:r>
      <w:r w:rsidR="002D593F">
        <w:rPr>
          <w:rFonts w:hint="eastAsia"/>
        </w:rPr>
        <w:t>等</w:t>
      </w:r>
      <w:r>
        <w:rPr>
          <w:rFonts w:hint="eastAsia"/>
        </w:rPr>
        <w:t>の手続きをする必要はありません。</w:t>
      </w:r>
    </w:p>
    <w:p w14:paraId="5A4B91E8" w14:textId="3F08361C" w:rsidR="002D593F" w:rsidRDefault="002D593F" w:rsidP="002D593F">
      <w:r>
        <w:rPr>
          <w:rFonts w:hint="eastAsia"/>
        </w:rPr>
        <w:t xml:space="preserve">　　今後とも、下水道事業をよろしくお願いします。</w:t>
      </w:r>
    </w:p>
    <w:p w14:paraId="3910967E" w14:textId="4C6A217C" w:rsidR="002D593F" w:rsidRDefault="002D593F" w:rsidP="002D593F"/>
    <w:p w14:paraId="1E93775A" w14:textId="1FBA3EE0" w:rsidR="002D593F" w:rsidRDefault="002D593F" w:rsidP="002D593F">
      <w:pPr>
        <w:jc w:val="right"/>
      </w:pPr>
      <w:r>
        <w:rPr>
          <w:rFonts w:hint="eastAsia"/>
        </w:rPr>
        <w:t>担当部署：地域整備課上下水道係</w:t>
      </w:r>
    </w:p>
    <w:sectPr w:rsidR="002D593F" w:rsidSect="00D70D27">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46F1C"/>
    <w:multiLevelType w:val="hybridMultilevel"/>
    <w:tmpl w:val="F6FCD290"/>
    <w:lvl w:ilvl="0" w:tplc="11985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94"/>
    <w:rsid w:val="001B5994"/>
    <w:rsid w:val="002D593F"/>
    <w:rsid w:val="00583221"/>
    <w:rsid w:val="00CD77F5"/>
    <w:rsid w:val="00D70D27"/>
    <w:rsid w:val="00D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D9C06E"/>
  <w15:chartTrackingRefBased/>
  <w15:docId w15:val="{CC46532B-5B49-492C-B06D-28EDB5B8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7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篠山 剛</dc:creator>
  <cp:keywords/>
  <dc:description/>
  <cp:lastModifiedBy>篠山 剛</cp:lastModifiedBy>
  <cp:revision>2</cp:revision>
  <dcterms:created xsi:type="dcterms:W3CDTF">2024-03-29T06:43:00Z</dcterms:created>
  <dcterms:modified xsi:type="dcterms:W3CDTF">2024-03-29T06:43:00Z</dcterms:modified>
</cp:coreProperties>
</file>